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3D10C5" w:rsidRPr="003D10C5">
        <w:rPr>
          <w:rFonts w:ascii="Calibri Light" w:hAnsi="Calibri Light" w:cs="Calibri Light"/>
        </w:rPr>
        <w:t>Charalampos</w:t>
      </w:r>
      <w:proofErr w:type="spellEnd"/>
      <w:r w:rsidR="003D10C5" w:rsidRPr="003D10C5">
        <w:rPr>
          <w:rFonts w:ascii="Calibri Light" w:hAnsi="Calibri Light" w:cs="Calibri Light"/>
        </w:rPr>
        <w:t xml:space="preserve"> SKOULIKARIS</w:t>
      </w:r>
    </w:p>
    <w:p w:rsidR="00E610A9" w:rsidRPr="00EB4B2C"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3D10C5" w:rsidRPr="003D10C5">
        <w:rPr>
          <w:rFonts w:ascii="Calibri Light" w:hAnsi="Calibri Light" w:cs="Calibri Light"/>
        </w:rPr>
        <w:t>hskoulik@civil.auth.gr</w:t>
      </w:r>
    </w:p>
    <w:p w:rsidR="00E610A9" w:rsidRPr="00EB4B2C" w:rsidRDefault="00E610A9" w:rsidP="00AF081F">
      <w:pPr>
        <w:spacing w:after="120" w:line="240" w:lineRule="auto"/>
        <w:ind w:left="284" w:right="902"/>
        <w:rPr>
          <w:rFonts w:ascii="Calibri Light" w:hAnsi="Calibri Light" w:cs="Calibri Light"/>
        </w:rPr>
      </w:pPr>
      <w:r w:rsidRPr="00EB4B2C">
        <w:rPr>
          <w:rFonts w:ascii="Calibri Light" w:hAnsi="Calibri Light" w:cs="Calibri Light"/>
        </w:rPr>
        <w:t xml:space="preserve">Institution: </w:t>
      </w:r>
      <w:r w:rsidR="00EB4B2C" w:rsidRPr="00EB4B2C">
        <w:rPr>
          <w:rFonts w:ascii="Calibri Light" w:hAnsi="Calibri Light" w:cs="Calibri Light"/>
        </w:rPr>
        <w:t>Aristotle University of Thessaloniki</w:t>
      </w:r>
    </w:p>
    <w:tbl>
      <w:tblPr>
        <w:tblStyle w:val="TableGrid"/>
        <w:tblW w:w="10916" w:type="dxa"/>
        <w:tblInd w:w="-743" w:type="dxa"/>
        <w:tblLook w:val="04A0"/>
      </w:tblPr>
      <w:tblGrid>
        <w:gridCol w:w="3119"/>
        <w:gridCol w:w="7797"/>
      </w:tblGrid>
      <w:tr w:rsidR="00E610A9" w:rsidTr="00EB4B2C">
        <w:tc>
          <w:tcPr>
            <w:tcW w:w="3119" w:type="dxa"/>
          </w:tcPr>
          <w:p w:rsidR="00E610A9" w:rsidRDefault="003D10C5">
            <w:r w:rsidRPr="003D10C5">
              <w:rPr>
                <w:noProof/>
              </w:rPr>
              <w:drawing>
                <wp:inline distT="0" distB="0" distL="0" distR="0">
                  <wp:extent cx="1378424" cy="1489730"/>
                  <wp:effectExtent l="0" t="0" r="0" b="0"/>
                  <wp:docPr id="1" name="Picture 2" descr="G:\Skoulikaris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koulikaris_phot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1979" cy="1504379"/>
                          </a:xfrm>
                          <a:prstGeom prst="rect">
                            <a:avLst/>
                          </a:prstGeom>
                          <a:noFill/>
                          <a:ln>
                            <a:noFill/>
                          </a:ln>
                        </pic:spPr>
                      </pic:pic>
                    </a:graphicData>
                  </a:graphic>
                </wp:inline>
              </w:drawing>
            </w:r>
          </w:p>
        </w:tc>
        <w:tc>
          <w:tcPr>
            <w:tcW w:w="7797" w:type="dxa"/>
          </w:tcPr>
          <w:p w:rsidR="00E610A9" w:rsidRPr="003D10C5" w:rsidRDefault="003D10C5" w:rsidP="00EB4B2C">
            <w:pPr>
              <w:jc w:val="both"/>
              <w:rPr>
                <w:rFonts w:ascii="Calibri Light" w:hAnsi="Calibri Light" w:cs="Calibri Light"/>
              </w:rPr>
            </w:pPr>
            <w:r w:rsidRPr="003D10C5">
              <w:rPr>
                <w:rFonts w:ascii="Calibri Light" w:hAnsi="Calibri Light" w:cs="Calibri Light"/>
              </w:rPr>
              <w:t xml:space="preserve">PhD, Research Associate at the Civil Engineering Department, </w:t>
            </w:r>
            <w:proofErr w:type="spellStart"/>
            <w:r w:rsidRPr="003D10C5">
              <w:rPr>
                <w:rFonts w:ascii="Calibri Light" w:hAnsi="Calibri Light" w:cs="Calibri Light"/>
              </w:rPr>
              <w:t>AUTh.</w:t>
            </w:r>
            <w:proofErr w:type="spellEnd"/>
            <w:r w:rsidRPr="003D10C5">
              <w:rPr>
                <w:rFonts w:ascii="Calibri Light" w:hAnsi="Calibri Light" w:cs="Calibri Light"/>
              </w:rPr>
              <w:t xml:space="preserve"> Joint PhD in water resources management of </w:t>
            </w:r>
            <w:proofErr w:type="spellStart"/>
            <w:r w:rsidRPr="003D10C5">
              <w:rPr>
                <w:rFonts w:ascii="Calibri Light" w:hAnsi="Calibri Light" w:cs="Calibri Light"/>
              </w:rPr>
              <w:t>AUTh</w:t>
            </w:r>
            <w:proofErr w:type="spellEnd"/>
            <w:r w:rsidRPr="003D10C5">
              <w:rPr>
                <w:rFonts w:ascii="Calibri Light" w:hAnsi="Calibri Light" w:cs="Calibri Light"/>
              </w:rPr>
              <w:t xml:space="preserve">, Greece, and </w:t>
            </w:r>
            <w:proofErr w:type="spellStart"/>
            <w:r w:rsidRPr="003D10C5">
              <w:rPr>
                <w:rFonts w:ascii="Calibri Light" w:hAnsi="Calibri Light" w:cs="Calibri Light"/>
              </w:rPr>
              <w:t>Ecole</w:t>
            </w:r>
            <w:proofErr w:type="spellEnd"/>
            <w:r w:rsidRPr="003D10C5">
              <w:rPr>
                <w:rFonts w:ascii="Calibri Light" w:hAnsi="Calibri Light" w:cs="Calibri Light"/>
              </w:rPr>
              <w:t xml:space="preserve"> des Mines de Paris - Paris Tech, </w:t>
            </w:r>
            <w:proofErr w:type="spellStart"/>
            <w:r w:rsidRPr="003D10C5">
              <w:rPr>
                <w:rFonts w:ascii="Calibri Light" w:hAnsi="Calibri Light" w:cs="Calibri Light"/>
              </w:rPr>
              <w:t>France.Secretary</w:t>
            </w:r>
            <w:proofErr w:type="spellEnd"/>
            <w:r w:rsidRPr="003D10C5">
              <w:rPr>
                <w:rFonts w:ascii="Calibri Light" w:hAnsi="Calibri Light" w:cs="Calibri Light"/>
              </w:rPr>
              <w:t xml:space="preserve"> General of the UNESCO Chair and Network INWEB. Research associate in more than 17 national and international research projects, with 8 of them to be related with </w:t>
            </w:r>
            <w:proofErr w:type="spellStart"/>
            <w:r w:rsidRPr="003D10C5">
              <w:rPr>
                <w:rFonts w:ascii="Calibri Light" w:hAnsi="Calibri Light" w:cs="Calibri Light"/>
              </w:rPr>
              <w:t>transboundary</w:t>
            </w:r>
            <w:proofErr w:type="spellEnd"/>
            <w:r w:rsidRPr="003D10C5">
              <w:rPr>
                <w:rFonts w:ascii="Calibri Light" w:hAnsi="Calibri Light" w:cs="Calibri Light"/>
              </w:rPr>
              <w:t xml:space="preserve"> water resources management issues in the Balkans, Middle East and Maghreb area. Participation in 1 Tempus and 2 Erasmus + projects. Author of more than 50 scientific articles. </w:t>
            </w:r>
          </w:p>
        </w:tc>
      </w:tr>
      <w:tr w:rsidR="00E610A9" w:rsidTr="001A4729">
        <w:tc>
          <w:tcPr>
            <w:tcW w:w="10916" w:type="dxa"/>
            <w:gridSpan w:val="2"/>
          </w:tcPr>
          <w:p w:rsidR="003D10C5" w:rsidRPr="00042180" w:rsidRDefault="003D10C5" w:rsidP="003D10C5">
            <w:pPr>
              <w:spacing w:after="120" w:line="360" w:lineRule="auto"/>
              <w:ind w:right="902"/>
              <w:rPr>
                <w:rFonts w:ascii="Times New Roman" w:hAnsi="Times New Roman" w:cs="Times New Roman"/>
              </w:rPr>
            </w:pPr>
            <w:r w:rsidRPr="00042180">
              <w:rPr>
                <w:rFonts w:ascii="Times New Roman" w:hAnsi="Times New Roman" w:cs="Times New Roman"/>
              </w:rPr>
              <w:t>References (max. 5 relevant references)</w:t>
            </w:r>
          </w:p>
          <w:p w:rsidR="003D10C5" w:rsidRPr="00C842A8" w:rsidRDefault="003D10C5" w:rsidP="003D10C5">
            <w:pPr>
              <w:pStyle w:val="ListParagraph"/>
              <w:widowControl w:val="0"/>
              <w:numPr>
                <w:ilvl w:val="0"/>
                <w:numId w:val="4"/>
              </w:numPr>
              <w:tabs>
                <w:tab w:val="left" w:pos="3649"/>
                <w:tab w:val="left" w:pos="5349"/>
                <w:tab w:val="left" w:pos="7992"/>
                <w:tab w:val="left" w:pos="9409"/>
                <w:tab w:val="left" w:pos="10778"/>
              </w:tabs>
              <w:suppressAutoHyphens/>
              <w:spacing w:before="86" w:after="86"/>
              <w:ind w:right="86"/>
              <w:rPr>
                <w:lang w:eastAsia="fr-BE"/>
              </w:rPr>
            </w:pPr>
            <w:proofErr w:type="spellStart"/>
            <w:r w:rsidRPr="00C842A8">
              <w:rPr>
                <w:b/>
                <w:lang w:eastAsia="fr-BE"/>
              </w:rPr>
              <w:t>Skoulikaris</w:t>
            </w:r>
            <w:proofErr w:type="spellEnd"/>
            <w:r w:rsidRPr="00C842A8">
              <w:rPr>
                <w:b/>
                <w:lang w:eastAsia="fr-BE"/>
              </w:rPr>
              <w:t>, Ch</w:t>
            </w:r>
            <w:r w:rsidRPr="00C842A8">
              <w:rPr>
                <w:lang w:eastAsia="fr-BE"/>
              </w:rPr>
              <w:t xml:space="preserve">. &amp; </w:t>
            </w:r>
            <w:proofErr w:type="spellStart"/>
            <w:r w:rsidRPr="00C842A8">
              <w:rPr>
                <w:lang w:eastAsia="fr-BE"/>
              </w:rPr>
              <w:t>Ganoulis</w:t>
            </w:r>
            <w:proofErr w:type="spellEnd"/>
            <w:r w:rsidRPr="00C842A8">
              <w:rPr>
                <w:lang w:eastAsia="fr-BE"/>
              </w:rPr>
              <w:t xml:space="preserve">, J. (2017). Multipurpose hydropower projects economic assessment under climate change conditions. </w:t>
            </w:r>
            <w:proofErr w:type="spellStart"/>
            <w:r w:rsidRPr="00C842A8">
              <w:rPr>
                <w:lang w:eastAsia="fr-BE"/>
              </w:rPr>
              <w:t>Fresenious</w:t>
            </w:r>
            <w:proofErr w:type="spellEnd"/>
            <w:r w:rsidRPr="00C842A8">
              <w:rPr>
                <w:lang w:eastAsia="fr-BE"/>
              </w:rPr>
              <w:t xml:space="preserve"> Environmental Bulletin, 26 (9), 5599-5607.</w:t>
            </w:r>
          </w:p>
          <w:p w:rsidR="003D10C5" w:rsidRPr="00C842A8" w:rsidRDefault="003D10C5" w:rsidP="003D10C5">
            <w:pPr>
              <w:pStyle w:val="ListParagraph"/>
              <w:widowControl w:val="0"/>
              <w:numPr>
                <w:ilvl w:val="0"/>
                <w:numId w:val="4"/>
              </w:numPr>
              <w:tabs>
                <w:tab w:val="left" w:pos="3649"/>
                <w:tab w:val="left" w:pos="5349"/>
                <w:tab w:val="left" w:pos="7992"/>
                <w:tab w:val="left" w:pos="9409"/>
                <w:tab w:val="left" w:pos="10778"/>
              </w:tabs>
              <w:suppressAutoHyphens/>
              <w:spacing w:before="86" w:after="86"/>
              <w:ind w:right="86"/>
              <w:rPr>
                <w:lang w:eastAsia="fr-BE"/>
              </w:rPr>
            </w:pPr>
            <w:proofErr w:type="spellStart"/>
            <w:r w:rsidRPr="00C842A8">
              <w:rPr>
                <w:lang w:eastAsia="fr-BE"/>
              </w:rPr>
              <w:t>Reil</w:t>
            </w:r>
            <w:proofErr w:type="spellEnd"/>
            <w:r w:rsidRPr="00C842A8">
              <w:rPr>
                <w:lang w:eastAsia="fr-BE"/>
              </w:rPr>
              <w:t xml:space="preserve">, A., </w:t>
            </w:r>
            <w:proofErr w:type="spellStart"/>
            <w:r w:rsidRPr="00C842A8">
              <w:rPr>
                <w:b/>
                <w:lang w:eastAsia="fr-BE"/>
              </w:rPr>
              <w:t>Skoulikaris</w:t>
            </w:r>
            <w:proofErr w:type="spellEnd"/>
            <w:r w:rsidRPr="00C842A8">
              <w:rPr>
                <w:b/>
                <w:lang w:eastAsia="fr-BE"/>
              </w:rPr>
              <w:t>, Ch</w:t>
            </w:r>
            <w:r w:rsidRPr="00C842A8">
              <w:rPr>
                <w:lang w:eastAsia="fr-BE"/>
              </w:rPr>
              <w:t xml:space="preserve">., </w:t>
            </w:r>
            <w:proofErr w:type="spellStart"/>
            <w:r w:rsidRPr="00C842A8">
              <w:rPr>
                <w:lang w:eastAsia="fr-BE"/>
              </w:rPr>
              <w:t>Alexandridis</w:t>
            </w:r>
            <w:proofErr w:type="spellEnd"/>
            <w:r w:rsidRPr="00C842A8">
              <w:rPr>
                <w:lang w:eastAsia="fr-BE"/>
              </w:rPr>
              <w:t xml:space="preserve">, T. K., and </w:t>
            </w:r>
            <w:proofErr w:type="spellStart"/>
            <w:r w:rsidRPr="00C842A8">
              <w:rPr>
                <w:lang w:eastAsia="fr-BE"/>
              </w:rPr>
              <w:t>Roub</w:t>
            </w:r>
            <w:proofErr w:type="spellEnd"/>
            <w:r w:rsidRPr="00C842A8">
              <w:rPr>
                <w:lang w:eastAsia="fr-BE"/>
              </w:rPr>
              <w:t>, R. (2016). Evaluation of riverbed representation methods for 1D flood hydraulics model. Journal of Flood Risk Management. DOI: 10.1111/jfr3.12304 (in press)</w:t>
            </w:r>
          </w:p>
          <w:p w:rsidR="003D10C5" w:rsidRPr="00C842A8" w:rsidRDefault="003D10C5" w:rsidP="003D10C5">
            <w:pPr>
              <w:pStyle w:val="ListParagraph"/>
              <w:widowControl w:val="0"/>
              <w:numPr>
                <w:ilvl w:val="0"/>
                <w:numId w:val="4"/>
              </w:numPr>
              <w:tabs>
                <w:tab w:val="left" w:pos="3649"/>
                <w:tab w:val="left" w:pos="5349"/>
                <w:tab w:val="left" w:pos="7992"/>
                <w:tab w:val="left" w:pos="9409"/>
                <w:tab w:val="left" w:pos="10778"/>
              </w:tabs>
              <w:suppressAutoHyphens/>
              <w:spacing w:before="86" w:after="86"/>
              <w:ind w:right="86"/>
              <w:rPr>
                <w:lang w:eastAsia="fr-BE"/>
              </w:rPr>
            </w:pPr>
            <w:proofErr w:type="spellStart"/>
            <w:r w:rsidRPr="00C842A8">
              <w:rPr>
                <w:lang w:eastAsia="fr-BE"/>
              </w:rPr>
              <w:t>Anagnostolpoulou</w:t>
            </w:r>
            <w:proofErr w:type="spellEnd"/>
            <w:r w:rsidRPr="00C842A8">
              <w:rPr>
                <w:lang w:eastAsia="fr-BE"/>
              </w:rPr>
              <w:t xml:space="preserve">, C., </w:t>
            </w:r>
            <w:proofErr w:type="spellStart"/>
            <w:r w:rsidRPr="00C842A8">
              <w:rPr>
                <w:lang w:eastAsia="fr-BE"/>
              </w:rPr>
              <w:t>Tolika</w:t>
            </w:r>
            <w:proofErr w:type="spellEnd"/>
            <w:r w:rsidRPr="00C842A8">
              <w:rPr>
                <w:lang w:eastAsia="fr-BE"/>
              </w:rPr>
              <w:t xml:space="preserve">, K., </w:t>
            </w:r>
            <w:proofErr w:type="spellStart"/>
            <w:r w:rsidRPr="00C842A8">
              <w:rPr>
                <w:b/>
                <w:lang w:eastAsia="fr-BE"/>
              </w:rPr>
              <w:t>Skoulikaris</w:t>
            </w:r>
            <w:proofErr w:type="spellEnd"/>
            <w:r w:rsidRPr="00C842A8">
              <w:rPr>
                <w:b/>
                <w:lang w:eastAsia="fr-BE"/>
              </w:rPr>
              <w:t>, Ch</w:t>
            </w:r>
            <w:r w:rsidRPr="00C842A8">
              <w:rPr>
                <w:lang w:eastAsia="fr-BE"/>
              </w:rPr>
              <w:t xml:space="preserve">. &amp; </w:t>
            </w:r>
            <w:proofErr w:type="spellStart"/>
            <w:r w:rsidRPr="00C842A8">
              <w:rPr>
                <w:lang w:eastAsia="fr-BE"/>
              </w:rPr>
              <w:t>Zafirakou</w:t>
            </w:r>
            <w:proofErr w:type="spellEnd"/>
            <w:r w:rsidRPr="00C842A8">
              <w:rPr>
                <w:lang w:eastAsia="fr-BE"/>
              </w:rPr>
              <w:t xml:space="preserve">, A. (2016). Climate Change Assessments </w:t>
            </w:r>
            <w:proofErr w:type="gramStart"/>
            <w:r w:rsidRPr="00C842A8">
              <w:rPr>
                <w:lang w:eastAsia="fr-BE"/>
              </w:rPr>
              <w:t>Over</w:t>
            </w:r>
            <w:proofErr w:type="gramEnd"/>
            <w:r w:rsidRPr="00C842A8">
              <w:rPr>
                <w:lang w:eastAsia="fr-BE"/>
              </w:rPr>
              <w:t xml:space="preserve"> a Greek Catchment Using RCM’s Projection. In: </w:t>
            </w:r>
            <w:proofErr w:type="spellStart"/>
            <w:r w:rsidRPr="00C842A8">
              <w:rPr>
                <w:lang w:eastAsia="fr-BE"/>
              </w:rPr>
              <w:t>Karacostas</w:t>
            </w:r>
            <w:proofErr w:type="spellEnd"/>
            <w:r w:rsidRPr="00C842A8">
              <w:rPr>
                <w:lang w:eastAsia="fr-BE"/>
              </w:rPr>
              <w:t xml:space="preserve"> T., </w:t>
            </w:r>
            <w:proofErr w:type="spellStart"/>
            <w:r w:rsidRPr="00C842A8">
              <w:rPr>
                <w:lang w:eastAsia="fr-BE"/>
              </w:rPr>
              <w:t>Bais</w:t>
            </w:r>
            <w:proofErr w:type="spellEnd"/>
            <w:r w:rsidRPr="00C842A8">
              <w:rPr>
                <w:lang w:eastAsia="fr-BE"/>
              </w:rPr>
              <w:t xml:space="preserve"> A., </w:t>
            </w:r>
            <w:proofErr w:type="spellStart"/>
            <w:r w:rsidRPr="00C842A8">
              <w:rPr>
                <w:lang w:eastAsia="fr-BE"/>
              </w:rPr>
              <w:t>Nastos</w:t>
            </w:r>
            <w:proofErr w:type="spellEnd"/>
            <w:r w:rsidRPr="00C842A8">
              <w:rPr>
                <w:lang w:eastAsia="fr-BE"/>
              </w:rPr>
              <w:t xml:space="preserve"> P. (</w:t>
            </w:r>
            <w:proofErr w:type="spellStart"/>
            <w:proofErr w:type="gramStart"/>
            <w:r w:rsidRPr="00C842A8">
              <w:rPr>
                <w:lang w:eastAsia="fr-BE"/>
              </w:rPr>
              <w:t>eds</w:t>
            </w:r>
            <w:proofErr w:type="spellEnd"/>
            <w:proofErr w:type="gramEnd"/>
            <w:r w:rsidRPr="00C842A8">
              <w:rPr>
                <w:lang w:eastAsia="fr-BE"/>
              </w:rPr>
              <w:t>) Perspectives on Atmospheric Sciences. Springer Atmospheric Sciences. Springer, Cham, 655-661, DOI10.1007/978-3-319-35095-0_93.</w:t>
            </w:r>
          </w:p>
          <w:p w:rsidR="003D10C5" w:rsidRPr="00C842A8" w:rsidRDefault="003D10C5" w:rsidP="003D10C5">
            <w:pPr>
              <w:pStyle w:val="ListParagraph"/>
              <w:widowControl w:val="0"/>
              <w:numPr>
                <w:ilvl w:val="0"/>
                <w:numId w:val="4"/>
              </w:numPr>
              <w:tabs>
                <w:tab w:val="left" w:pos="3649"/>
                <w:tab w:val="left" w:pos="5349"/>
                <w:tab w:val="left" w:pos="7992"/>
                <w:tab w:val="left" w:pos="9409"/>
                <w:tab w:val="left" w:pos="10778"/>
              </w:tabs>
              <w:suppressAutoHyphens/>
              <w:spacing w:before="86" w:after="86"/>
              <w:ind w:right="86"/>
              <w:rPr>
                <w:lang w:eastAsia="fr-BE"/>
              </w:rPr>
            </w:pPr>
            <w:proofErr w:type="spellStart"/>
            <w:r w:rsidRPr="00C842A8">
              <w:rPr>
                <w:lang w:eastAsia="fr-BE"/>
              </w:rPr>
              <w:t>Alexandridis</w:t>
            </w:r>
            <w:proofErr w:type="spellEnd"/>
            <w:r w:rsidRPr="00C842A8">
              <w:rPr>
                <w:lang w:eastAsia="fr-BE"/>
              </w:rPr>
              <w:t xml:space="preserve"> T. K., </w:t>
            </w:r>
            <w:proofErr w:type="spellStart"/>
            <w:r w:rsidRPr="00C842A8">
              <w:rPr>
                <w:lang w:eastAsia="fr-BE"/>
              </w:rPr>
              <w:t>Monachou</w:t>
            </w:r>
            <w:proofErr w:type="spellEnd"/>
            <w:r w:rsidRPr="00C842A8">
              <w:rPr>
                <w:lang w:eastAsia="fr-BE"/>
              </w:rPr>
              <w:t xml:space="preserve"> S., </w:t>
            </w:r>
            <w:proofErr w:type="spellStart"/>
            <w:r w:rsidRPr="00C842A8">
              <w:rPr>
                <w:b/>
                <w:lang w:eastAsia="fr-BE"/>
              </w:rPr>
              <w:t>Skoulikaris</w:t>
            </w:r>
            <w:proofErr w:type="spellEnd"/>
            <w:r w:rsidRPr="00C842A8">
              <w:rPr>
                <w:b/>
                <w:lang w:eastAsia="fr-BE"/>
              </w:rPr>
              <w:t xml:space="preserve"> Ch</w:t>
            </w:r>
            <w:r w:rsidRPr="00C842A8">
              <w:rPr>
                <w:lang w:eastAsia="fr-BE"/>
              </w:rPr>
              <w:t xml:space="preserve">., </w:t>
            </w:r>
            <w:proofErr w:type="spellStart"/>
            <w:r w:rsidRPr="00C842A8">
              <w:rPr>
                <w:lang w:eastAsia="fr-BE"/>
              </w:rPr>
              <w:t>Kalopesa</w:t>
            </w:r>
            <w:proofErr w:type="spellEnd"/>
            <w:r w:rsidRPr="00C842A8">
              <w:rPr>
                <w:lang w:eastAsia="fr-BE"/>
              </w:rPr>
              <w:t xml:space="preserve"> E., and </w:t>
            </w:r>
            <w:proofErr w:type="spellStart"/>
            <w:r w:rsidRPr="00C842A8">
              <w:rPr>
                <w:lang w:eastAsia="fr-BE"/>
              </w:rPr>
              <w:t>Zalidis</w:t>
            </w:r>
            <w:proofErr w:type="spellEnd"/>
            <w:r w:rsidRPr="00C842A8">
              <w:rPr>
                <w:lang w:eastAsia="fr-BE"/>
              </w:rPr>
              <w:t xml:space="preserve"> G. (2014) Investigation of the temporal relation of remotely sensed coastal water quality with GIS </w:t>
            </w:r>
            <w:proofErr w:type="spellStart"/>
            <w:r w:rsidRPr="00C842A8">
              <w:rPr>
                <w:lang w:eastAsia="fr-BE"/>
              </w:rPr>
              <w:t>modelled</w:t>
            </w:r>
            <w:proofErr w:type="spellEnd"/>
            <w:r w:rsidRPr="00C842A8">
              <w:rPr>
                <w:lang w:eastAsia="fr-BE"/>
              </w:rPr>
              <w:t xml:space="preserve"> upstream soil erosion, </w:t>
            </w:r>
            <w:proofErr w:type="spellStart"/>
            <w:r w:rsidRPr="00C842A8">
              <w:rPr>
                <w:i/>
                <w:lang w:eastAsia="fr-BE"/>
              </w:rPr>
              <w:t>Hydrol</w:t>
            </w:r>
            <w:proofErr w:type="spellEnd"/>
            <w:r w:rsidRPr="00C842A8">
              <w:rPr>
                <w:i/>
                <w:lang w:eastAsia="fr-BE"/>
              </w:rPr>
              <w:t xml:space="preserve">. </w:t>
            </w:r>
            <w:proofErr w:type="gramStart"/>
            <w:r w:rsidRPr="00C842A8">
              <w:rPr>
                <w:i/>
                <w:lang w:eastAsia="fr-BE"/>
              </w:rPr>
              <w:t>Process</w:t>
            </w:r>
            <w:r w:rsidRPr="00C842A8">
              <w:rPr>
                <w:lang w:eastAsia="fr-BE"/>
              </w:rPr>
              <w:t>.,</w:t>
            </w:r>
            <w:proofErr w:type="gramEnd"/>
            <w:r w:rsidRPr="00C842A8">
              <w:rPr>
                <w:lang w:eastAsia="fr-BE"/>
              </w:rPr>
              <w:t xml:space="preserve"> </w:t>
            </w:r>
            <w:proofErr w:type="spellStart"/>
            <w:r w:rsidRPr="00C842A8">
              <w:rPr>
                <w:lang w:eastAsia="fr-BE"/>
              </w:rPr>
              <w:t>doi</w:t>
            </w:r>
            <w:proofErr w:type="spellEnd"/>
            <w:r w:rsidRPr="00C842A8">
              <w:rPr>
                <w:lang w:eastAsia="fr-BE"/>
              </w:rPr>
              <w:t>: 10.1002/hyp.10373.</w:t>
            </w:r>
          </w:p>
          <w:p w:rsidR="003D10C5" w:rsidRPr="00C842A8" w:rsidRDefault="003D10C5" w:rsidP="003D10C5">
            <w:pPr>
              <w:pStyle w:val="ListParagraph"/>
              <w:widowControl w:val="0"/>
              <w:numPr>
                <w:ilvl w:val="0"/>
                <w:numId w:val="4"/>
              </w:numPr>
              <w:tabs>
                <w:tab w:val="left" w:pos="3649"/>
                <w:tab w:val="left" w:pos="5349"/>
                <w:tab w:val="left" w:pos="7992"/>
                <w:tab w:val="left" w:pos="9409"/>
                <w:tab w:val="left" w:pos="10778"/>
              </w:tabs>
              <w:suppressAutoHyphens/>
              <w:spacing w:before="86" w:after="86"/>
              <w:ind w:right="86"/>
              <w:rPr>
                <w:lang w:eastAsia="fr-BE"/>
              </w:rPr>
            </w:pPr>
            <w:proofErr w:type="spellStart"/>
            <w:r w:rsidRPr="00C842A8">
              <w:rPr>
                <w:b/>
                <w:lang w:eastAsia="fr-BE"/>
              </w:rPr>
              <w:t>Skoulikaris</w:t>
            </w:r>
            <w:proofErr w:type="spellEnd"/>
            <w:r w:rsidRPr="00C842A8">
              <w:rPr>
                <w:b/>
                <w:lang w:eastAsia="fr-BE"/>
              </w:rPr>
              <w:t>, Ch.,</w:t>
            </w:r>
            <w:r w:rsidRPr="00C842A8">
              <w:rPr>
                <w:lang w:eastAsia="fr-BE"/>
              </w:rPr>
              <w:t xml:space="preserve"> </w:t>
            </w:r>
            <w:proofErr w:type="spellStart"/>
            <w:r w:rsidRPr="00C842A8">
              <w:rPr>
                <w:lang w:eastAsia="fr-BE"/>
              </w:rPr>
              <w:t>Ganoulis</w:t>
            </w:r>
            <w:proofErr w:type="spellEnd"/>
            <w:r w:rsidRPr="00C842A8">
              <w:rPr>
                <w:lang w:eastAsia="fr-BE"/>
              </w:rPr>
              <w:t xml:space="preserve">, J., </w:t>
            </w:r>
            <w:proofErr w:type="spellStart"/>
            <w:r w:rsidRPr="00C842A8">
              <w:rPr>
                <w:lang w:eastAsia="fr-BE"/>
              </w:rPr>
              <w:t>Karapetsas</w:t>
            </w:r>
            <w:proofErr w:type="spellEnd"/>
            <w:r w:rsidRPr="00C842A8">
              <w:rPr>
                <w:lang w:eastAsia="fr-BE"/>
              </w:rPr>
              <w:t xml:space="preserve">, N., </w:t>
            </w:r>
            <w:proofErr w:type="spellStart"/>
            <w:r w:rsidRPr="00C842A8">
              <w:rPr>
                <w:lang w:eastAsia="fr-BE"/>
              </w:rPr>
              <w:t>Katsogiannos</w:t>
            </w:r>
            <w:proofErr w:type="spellEnd"/>
            <w:r w:rsidRPr="00C842A8">
              <w:rPr>
                <w:lang w:eastAsia="fr-BE"/>
              </w:rPr>
              <w:t xml:space="preserve">, F. &amp; </w:t>
            </w:r>
            <w:proofErr w:type="spellStart"/>
            <w:r w:rsidRPr="00C842A8">
              <w:rPr>
                <w:lang w:eastAsia="fr-BE"/>
              </w:rPr>
              <w:t>Zalidis</w:t>
            </w:r>
            <w:proofErr w:type="spellEnd"/>
            <w:r w:rsidRPr="00C842A8">
              <w:rPr>
                <w:lang w:eastAsia="fr-BE"/>
              </w:rPr>
              <w:t xml:space="preserve">, G. (2014) Cooperative </w:t>
            </w:r>
            <w:proofErr w:type="spellStart"/>
            <w:r w:rsidRPr="00C842A8">
              <w:rPr>
                <w:lang w:eastAsia="fr-BE"/>
              </w:rPr>
              <w:t>WebGIS</w:t>
            </w:r>
            <w:proofErr w:type="spellEnd"/>
            <w:r w:rsidRPr="00C842A8">
              <w:rPr>
                <w:lang w:eastAsia="fr-BE"/>
              </w:rPr>
              <w:t xml:space="preserve"> interactive information systems for water resources data management. In: Hydrology in a Changing World: Environmental and Human Dimensions (T. </w:t>
            </w:r>
            <w:proofErr w:type="spellStart"/>
            <w:r w:rsidRPr="00C842A8">
              <w:rPr>
                <w:lang w:eastAsia="fr-BE"/>
              </w:rPr>
              <w:t>Daniell</w:t>
            </w:r>
            <w:proofErr w:type="spellEnd"/>
            <w:r w:rsidRPr="00C842A8">
              <w:rPr>
                <w:lang w:eastAsia="fr-BE"/>
              </w:rPr>
              <w:t xml:space="preserve"> et al. </w:t>
            </w:r>
            <w:proofErr w:type="spellStart"/>
            <w:r w:rsidRPr="00C842A8">
              <w:rPr>
                <w:lang w:eastAsia="fr-BE"/>
              </w:rPr>
              <w:t>Eds</w:t>
            </w:r>
            <w:proofErr w:type="spellEnd"/>
            <w:r w:rsidRPr="00C842A8">
              <w:rPr>
                <w:lang w:eastAsia="fr-BE"/>
              </w:rPr>
              <w:t xml:space="preserve">), IAHS </w:t>
            </w:r>
            <w:proofErr w:type="spellStart"/>
            <w:r w:rsidRPr="00C842A8">
              <w:rPr>
                <w:lang w:eastAsia="fr-BE"/>
              </w:rPr>
              <w:t>Publ</w:t>
            </w:r>
            <w:proofErr w:type="spellEnd"/>
            <w:r w:rsidRPr="00C842A8">
              <w:rPr>
                <w:lang w:eastAsia="fr-BE"/>
              </w:rPr>
              <w:t xml:space="preserve"> 363, 342–347. IAHS, Wallingford, UK.</w:t>
            </w:r>
          </w:p>
          <w:p w:rsidR="00EB4B2C" w:rsidRPr="00EB4B2C" w:rsidRDefault="00EB4B2C" w:rsidP="00EB4B2C">
            <w:pPr>
              <w:widowControl w:val="0"/>
              <w:suppressAutoHyphens/>
              <w:overflowPunct w:val="0"/>
              <w:autoSpaceDE w:val="0"/>
              <w:autoSpaceDN w:val="0"/>
              <w:adjustRightInd w:val="0"/>
              <w:jc w:val="both"/>
              <w:textAlignment w:val="baseline"/>
              <w:rPr>
                <w:rFonts w:ascii="Calibri Light" w:hAnsi="Calibri Light" w:cs="Calibri Light"/>
                <w:lang w:eastAsia="el-GR"/>
              </w:rPr>
            </w:pPr>
          </w:p>
          <w:p w:rsidR="00E610A9" w:rsidRDefault="00E610A9" w:rsidP="00E610A9">
            <w:pPr>
              <w:ind w:left="720" w:hanging="720"/>
              <w:jc w:val="both"/>
            </w:pPr>
          </w:p>
        </w:tc>
      </w:tr>
    </w:tbl>
    <w:p w:rsidR="008408D9" w:rsidRDefault="002845F1">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9E9" w:rsidRDefault="00A349E9" w:rsidP="00DE55A3">
      <w:pPr>
        <w:spacing w:after="0" w:line="240" w:lineRule="auto"/>
      </w:pPr>
      <w:r>
        <w:separator/>
      </w:r>
    </w:p>
  </w:endnote>
  <w:endnote w:type="continuationSeparator" w:id="0">
    <w:p w:rsidR="00A349E9" w:rsidRDefault="00A349E9"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2845F1">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2845F1">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EB4B2C">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9E9" w:rsidRDefault="00A349E9" w:rsidP="00DE55A3">
      <w:pPr>
        <w:spacing w:after="0" w:line="240" w:lineRule="auto"/>
      </w:pPr>
      <w:r>
        <w:separator/>
      </w:r>
    </w:p>
  </w:footnote>
  <w:footnote w:type="continuationSeparator" w:id="0">
    <w:p w:rsidR="00A349E9" w:rsidRDefault="00A349E9"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2845F1">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33F1993"/>
    <w:multiLevelType w:val="hybridMultilevel"/>
    <w:tmpl w:val="92FA156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149003CE"/>
    <w:multiLevelType w:val="hybridMultilevel"/>
    <w:tmpl w:val="2A2AE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7504"/>
    <w:rsid w:val="00112CAC"/>
    <w:rsid w:val="00121348"/>
    <w:rsid w:val="00161DA3"/>
    <w:rsid w:val="00174E03"/>
    <w:rsid w:val="00183377"/>
    <w:rsid w:val="00184CE6"/>
    <w:rsid w:val="001A2D8B"/>
    <w:rsid w:val="001A3247"/>
    <w:rsid w:val="001E0145"/>
    <w:rsid w:val="001F229B"/>
    <w:rsid w:val="00200C0F"/>
    <w:rsid w:val="00220CDD"/>
    <w:rsid w:val="0023719E"/>
    <w:rsid w:val="00275C68"/>
    <w:rsid w:val="002845F1"/>
    <w:rsid w:val="002A3146"/>
    <w:rsid w:val="002E2042"/>
    <w:rsid w:val="002E2A6E"/>
    <w:rsid w:val="0031015D"/>
    <w:rsid w:val="00337626"/>
    <w:rsid w:val="00344C81"/>
    <w:rsid w:val="003623C5"/>
    <w:rsid w:val="00362B80"/>
    <w:rsid w:val="00372229"/>
    <w:rsid w:val="00394B00"/>
    <w:rsid w:val="003D10C5"/>
    <w:rsid w:val="003D1BC1"/>
    <w:rsid w:val="003D4EC1"/>
    <w:rsid w:val="003E4D46"/>
    <w:rsid w:val="004030AA"/>
    <w:rsid w:val="00421D16"/>
    <w:rsid w:val="004979BE"/>
    <w:rsid w:val="004B5678"/>
    <w:rsid w:val="004C417D"/>
    <w:rsid w:val="004D6050"/>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F4E8B"/>
    <w:rsid w:val="007F558B"/>
    <w:rsid w:val="00823F7A"/>
    <w:rsid w:val="00833B11"/>
    <w:rsid w:val="008408D9"/>
    <w:rsid w:val="00890B6A"/>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49E9"/>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549D"/>
    <w:rsid w:val="00D81169"/>
    <w:rsid w:val="00D945F6"/>
    <w:rsid w:val="00D96BB8"/>
    <w:rsid w:val="00DA4A69"/>
    <w:rsid w:val="00DA5559"/>
    <w:rsid w:val="00DB0D8B"/>
    <w:rsid w:val="00DE1A75"/>
    <w:rsid w:val="00DE3261"/>
    <w:rsid w:val="00DE55A3"/>
    <w:rsid w:val="00DE58CD"/>
    <w:rsid w:val="00DE6E0E"/>
    <w:rsid w:val="00E01228"/>
    <w:rsid w:val="00E07595"/>
    <w:rsid w:val="00E13100"/>
    <w:rsid w:val="00E23BA9"/>
    <w:rsid w:val="00E3063E"/>
    <w:rsid w:val="00E53B87"/>
    <w:rsid w:val="00E610A9"/>
    <w:rsid w:val="00E95176"/>
    <w:rsid w:val="00E96342"/>
    <w:rsid w:val="00EA7D87"/>
    <w:rsid w:val="00EB42BF"/>
    <w:rsid w:val="00EB4B2C"/>
    <w:rsid w:val="00EB7D4E"/>
    <w:rsid w:val="00EC79D3"/>
    <w:rsid w:val="00ED4169"/>
    <w:rsid w:val="00EE2E39"/>
    <w:rsid w:val="00EF6A92"/>
    <w:rsid w:val="00F151D5"/>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9</cp:revision>
  <cp:lastPrinted>2018-11-09T00:36:00Z</cp:lastPrinted>
  <dcterms:created xsi:type="dcterms:W3CDTF">2018-11-19T22:46:00Z</dcterms:created>
  <dcterms:modified xsi:type="dcterms:W3CDTF">2018-12-16T14:18:00Z</dcterms:modified>
</cp:coreProperties>
</file>